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0A8" w:rsidRDefault="003360A8" w:rsidP="00E321F1">
      <w:pPr>
        <w:pStyle w:val="Heading1"/>
        <w:spacing w:before="120" w:after="240" w:line="200" w:lineRule="atLeast"/>
        <w:rPr>
          <w:rFonts w:ascii="Georgia" w:hAnsi="Georgia"/>
        </w:rPr>
      </w:pPr>
    </w:p>
    <w:p w:rsidR="00E321F1" w:rsidRPr="00E4242C" w:rsidRDefault="00E321F1" w:rsidP="00E321F1">
      <w:pPr>
        <w:pStyle w:val="Heading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7A0596">
        <w:rPr>
          <w:rFonts w:ascii="Georgia" w:hAnsi="Georgia"/>
          <w:sz w:val="22"/>
          <w:szCs w:val="22"/>
        </w:rPr>
        <w:t>A. Menarini Diagnostics</w:t>
      </w:r>
      <w:r w:rsidRPr="00E4242C">
        <w:rPr>
          <w:rFonts w:ascii="Georgia" w:hAnsi="Georgia"/>
        </w:rPr>
        <w:fldChar w:fldCharType="end"/>
      </w:r>
      <w:bookmarkEnd w:id="0"/>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7A0596">
        <w:rPr>
          <w:rFonts w:ascii="Georgia" w:hAnsi="Georgia"/>
          <w:noProof/>
          <w:sz w:val="22"/>
          <w:szCs w:val="22"/>
        </w:rPr>
        <w:t>Johan Vikner, 040-321270, jvikner@menarinidiagnostics.se</w:t>
      </w:r>
      <w:r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bookmarkStart w:id="5" w:name="_GoBack"/>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checkBox>
                </w:ffData>
              </w:fldChar>
            </w:r>
            <w:r w:rsidRPr="00E4242C">
              <w:rPr>
                <w:rFonts w:ascii="Georgia" w:hAnsi="Georgia"/>
                <w:sz w:val="20"/>
                <w:szCs w:val="20"/>
                <w:lang w:eastAsia="en-US"/>
              </w:rPr>
              <w:instrText xml:space="preserve"> FORMCHECKBOX </w:instrText>
            </w:r>
            <w:r w:rsidR="007A0596" w:rsidRPr="00E4242C">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bookmarkEnd w:id="5"/>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7A0596">
              <w:rPr>
                <w:rFonts w:ascii="Georgia" w:hAnsi="Georgia"/>
                <w:sz w:val="20"/>
                <w:szCs w:val="20"/>
                <w:lang w:eastAsia="en-US"/>
              </w:rPr>
            </w:r>
            <w:r w:rsidR="007A0596">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F1"/>
    <w:rsid w:val="000106B3"/>
    <w:rsid w:val="003360A8"/>
    <w:rsid w:val="0074395E"/>
    <w:rsid w:val="00743A11"/>
    <w:rsid w:val="007A0596"/>
    <w:rsid w:val="007D784E"/>
    <w:rsid w:val="007F0D47"/>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5096</Characters>
  <Application>Microsoft Office Word</Application>
  <DocSecurity>0</DocSecurity>
  <Lines>42</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Johan Vikner</cp:lastModifiedBy>
  <cp:revision>2</cp:revision>
  <dcterms:created xsi:type="dcterms:W3CDTF">2017-11-07T14:37:00Z</dcterms:created>
  <dcterms:modified xsi:type="dcterms:W3CDTF">2017-11-07T14:37:00Z</dcterms:modified>
</cp:coreProperties>
</file>